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03.03.2021, оставленным без изменения постановлениями Шестнадцатого арбитражного апелляционного суда от 02.06.2021 и Арбитражного суда Северо-Кавказского округа от 30.08.2021, в удовлетворении заявления отказано. В кассационной жалобе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выездная проверка общества по вопросу соблюдения обязательных требований законодательства о градостроительной деятельности, в том числе технических регламентов, и требований проектной документации при реконструкции объекта капитального строительства. По результатам проверки управлением выдано предписание, в пункте 14 которого указано на необходимость получить положительное заключение экологической экспертизы после внесения изменений в проектную документацию спорного объекта в целях устранения допущенных нарушений. Не согласившись с пунктом 14 ненормативного правового акта управления,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Градостроительного кодекса Российской Федерации, Федерального закона от 24.06.1998 № 89-ФЗ «Об отходах производства и потребления», Федерального закона от 23.11.1995 № 174-ФЗ «Об экологической экспертизе», пришли к выводу о законности оспариваемого пункта предписания управления. Судебные инстанции исходили из того, что положительное заключение государственной экологической экспертизы необходимо ввиду внесения изменений в проектную и иную документацию на спорный объект. При исследовании обстоятельств дела установлено, что срок ранее выданного обществу положительного заключения экспертизы проектной документации от 27.02.2015 истек. Доводы, изложенные в кассационной жалобе, повторяют позицию заявителя по спору, изложенную в судах трех инстанций, являлись предметом рассмотрения судов и получили надлежащую правовую оценку. 3 Указанные доводы не подтверждают существенных нарушений норм материального и норм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«Комбинат Благоустройства»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