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18.02.2021, оставленным без изменения постановлением Восьмого арбитражного апелляционного суда от 17.05.2021 и постановлением Арбитражного суда Западно-Сибирского округа от 31.08.2021, в удовлетворении заявления отказано. 2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уточненной налоговой декларации по налогу на добавленную стоимость (далее - НДС) за 2 квартал 2018 года, по результатам принято решение от 10.08.2020 № 1914 о привлечении заявителя к ответственности за совершение налогового правонарушения по пункту 1 статьи 122 Налогового кодекса Российской Федерации (далее - Налоговый кодекс) в виде штрафа в размере 1 266 770 рублей, доначислен налог на добавленную стоимость (далее - НДС) в сумме 6 333 852 рублей, пени в сумме 974 990 рублей 95 копеек. Решением управления от 06.10.2020 № 07-15/15064@ апелляционная жалоба общества оставлена без удовлетворения. Отказывая в удовлетворении заявления, суд первой инстанции, исследовав и оценив представленные в материалы дела доказательства, руководствуясь положениями Налогового кодекса, пришел к выводу о законности оспоренного решения, не установив существенных нарушений процедуры его принятия, с чем согласились суды апелляционной инстанции и округа. Судебные инстанции установили, что по существу доначисленных оспоренным решением сумм общество возражений не заявляет, однако ссылается на существенные нарушения допущенные инспекцией при принятии оспоренного ненормативного правового акта, выразившиеся в невозможности ознакомиться с материалами проверки. По результатам исследования и оценки представленных в материалы дела документов, суды пришли к выводу о недоказанности существенных нарушений прав и законных интересов заявителя. При этом суды отметили, что в установленное время конкурсный управляющий не явился в налоговый орган. Неявка конкурсного управляющего для ознакомления с материалами дела не 3 может расцениваться как ограничение прав налогоплательщика со стороны налогового органа. Доводы заявителя, изложенные в кассационной жалобе, аналогичны доводам, заявленным при рассмотрении дела в судах трех инстанций, являлись предметом их рассмотрения и получили надлежащую правовую оценку. Указанные доводы не подтверждают существенных нарушений норм материального и процессуального права, повлиявших на исход дела,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общества с ограниченной ответственностью «Атлант» Кочуг Юлии Ринатовне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