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Пермского края от 02.11.2020, оставленным без изменения постановлением Семнадцатого арбитражного апелляционного суда от 11.01.2021, общество привлечено к административной ответственности, предусмотренной частью 2 статьи 14.1 Кодекса Российской Федерации об административных правонарушениях, и ему назначено наказание в виде административного штрафа в размере 40 000 рублей. 2 Определением Арбитражного суда Уральского округа от 30.06.2021 производство по жалобе Территориального управления Министерства социального развития Пермского края по городу Перми (далее – управление), заявленной в порядке статьи 42 Арбитражного процессуального кодекса Российской Федерации, прекращено. Постановлением Арбитражного суда Уральского округа от 02.08.2021 указанное определение оставлено без изменения. Общество в кассационной жалобе приводит доводы о том, что суды неправомерно не привлекли управление к участию в деле, просит отменить судебные акты суда округа, жалобу управления принять к рассмотрению.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Как следует из судебных актов, основанием для привлечения к ответственности по части 2 статьи 14.1 Кодекса Российской Федерации об административных правонарушениях послужил установленный судами факт осуществления обществом деятельности такси без соответствующего разрешения на осуществление деятельности по перевозке пассажиров и багажа легковым такси на территории Пермского края. Прекращая производство по жалобе управления (заключившего контракты с обществом), применительно к пункту 1 части 1 статьи 150 Арбитражного процессуального кодекса Российской Федерации, суд округа исходил из того, что судебным актом по существу спора не затронуты права и 3 обязанности управления, не привлеченного к участию в деле, в судебном акте отсутствуют выводы о правах данного лица, какие-либо обязанности на него не возложены. При этом выводы судов по настоящему делу не предрешают результат определения законности (незаконности) закупки и условий аукциона, так как являются различными по предмету доказывания. Кроме того, общество не было лишено права на самостоятельное обжалование судебных актов в кассационном порядке, а судебные акты суда кассационной инстанции, принятые в отношении управления, прав и законных интересов общества сами по себе не нарушают. С учетом изложенного приведенные заявителем доводы не могут быть признаны достаточным основанием для пересмотра обжалуемых судебных актов в кассационном порядке.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