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02.03.2021, оставленным без изменения постановлением Первого арбитражного апелляционного суда от 30.04.2021, в удовлетворении требований отказано. Постановлением Арбитражного суда Волго-Вятского округа от 27.08.2021 указанные судебные акты оставлены без изменения. 2 Общество в кассационной жалобе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58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статей 248, 251, 346.15 Налогового кодекса Российской Федерации, статьи 14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заявленных требований, признав, что обществом не соблюдены условия о доле доходов от реализации оказанных услуг по основному виду экономической деятельности, а также установив, что общество предоставило недостоверные сведения о заработной плате работника, что привело к неправильному расчету размера его среднего дневного заработка, необходимого для исчисления пособий. 3 Приведенные в жалобе доводы, которые были предметом исследования и оценки судов,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дела, связанным с расчетом доли доходов от основного вида деятельности в общем объеме доходов, а также не установлением наличия исключаемых периодов для расчета пособий беременности и родам.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