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05.03.2021, оставленным без изменения постановлением Девятого арбитражного апелляционного суда от 27.04.2021, заявленные требования удовлетворены. 2 Постановлением Арбитражного суда Московского округа от 25.08.2021 указанные судебные акты оставлены без изменения. Административный орган обратился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При рассмотрении дела суды исходили из недоказанности административным органом состава вмененного административного правонарушения. Как следует из судебных актов, административный орган при привлечении к административной ответственности исходил из того, что на земельном участке проведена реконструкция находящегося на нем здания в отсутствие прав на использование участка для этой цели, проектной документации и разрешения на строительство (реконструкцию), что образует состав административного правонарушения, предусмотренного частью 1.1 статьи 6.7 КоАП г. Москвы. Между тем, при рассмотрении спора суды пришли к выводу об отсутствии в действиях общества состава вмененного правонарушения, признав недоказанным нарушение обществом требований и ограничений по использованию земельного участка, связанных со строительством, с реконструкцией на нем здания, установив некапитальный характер строения, тогда как вопрос размещения некапитального объекта в рассматриваемом случае административным органом не вменялся. Указанные выводы судов в жалобе не опровергнуты.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