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14.04.2021, оставленным без изменения постановлением Пятого арбитражного апелляционного суда от 09.06.2021, в удовлетворении заявления отказано. Постановлением Арбитражного суда Дальневосточного округа от 17.08.2021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Частью 2 статьи 7.3 КоАП РФ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суды, исходя из факта выполнения обществом спорных работ в отсутствие согласования в установленный срок технического проекта разработки месторождения в границах лицензионного участка на площади с утвержденными запасами, пришли к выводу о доказанности административным органом в действиях общества состава административного правонарушения, ответственность за совершение которого предусмотрена частью 2 статьи 7.3 КоАП РФ. Суды указали, что процедура и срок привлечения к административной ответственности соблюдены, размер административного штрафа назначен в пределах санкции нормы, оснований для применения положений статьи 2.9 КоАП РФ не установлено.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3 фактическим обстоятельствам дела, связанным с совершением обществом вмененного правонарушения.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