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16.03.2021, оставленным без изменения постановлением Девятого арбитражного апелляционного суда от 10.06.2021, исковые требования удовлетворены. Арбитражный суд Московского округа постановлением от 25.08.2021 оставил без изменения указанные судебные акты. Страховая компания просит отменить принятые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Удовлетворяя исковые требования, суды, руководствуясь положениями Гражданского кодекса Российской Федерации, Законом Российской Федерации от 27.11.1992 № 4015-1 «Об организации страхового дела в Российской Федерации», исходили из представленных в материалы дела доказательств, в том числе выводов судебной экспертизы, которыми подтвержден факт наступления страхового случая в период действия договора страхования, и отсутствия исполнения страховщиком обязательств по выплате страхового возмещения. 3 Обжалуя судебные акты в Верховный Суд Российской Федерации, заявитель приводит доводы, которые являлись предметом рассмотрения судов и получили исчерпывающую правовую оценку. Доводы заявителя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