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20.12.2019, оставленным без изменения постановлением Девятого арбитражного апелляционного суда от 19.05.2021, в удовлетворении требования отказано. Постановлением Арбитражного суда Московского округа от 03.09.2021 указанные судебные акты оставлены без изменения. Общество просит обжалуемые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Частью 1 статьи 9.4 Кодекса Российской Федерации об административных правонарушениях установлена ответственность за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Оценив представленные доказательства и установив факт нарушения обществом обязательных требований в области строительства, руководствуясь положениями статей 198, 201 Арбитражного процессуального кодекса Российской Федерации, статей 49, 52 Градостроительного кодекса Российской Федерации, статьями 2, 6, 39 Федерального закона от 30.12.2009 № 384-ФЗ «Технический регламент о безопасности зданий и сооружений», суды пришли к выводу об отсутствии доказательств нарушения прав и законных интересов общества вынесенным предписанием, и наличии в его действиях состава административного правонарушения, ответственность за совершение которого 3 предусмотрена частью 1 статьи 9.4 Кодекса Российской Федерации об административных правонарушениях. Вина общества состоит в том,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 Судами проверены процедура и срок давности привлечения к административной ответственности, наказание в виде штрафа назначено в пределах санкции нормы. Поскольку предписание носит предупредительный характер, не обязывает общество совершать определенные действия, не устанавливает факт нарушения, выводы судов об отсутствии доказательств нарушения прав и законных интересов общества в жалобе не опровергнуты. Иные доводы жалобы были предметом исследования судов и получили исчерпывающую правовую оценку, в том числе, исходя из установленных параметров объекта капитального строительства и применимых к ним норм градостроительного законодательства, не согласиться с которой, исходя из доводов жалобы, оснований не имеется. Ссылка общества на то, что с прекращением строительства спорного объекта в отсутствие соответствующего разрешения вмененное противоправное деяние прекратилось, с учетом установленного годичного срока давности привлечения к административной ответственности за указанное правонарушение, не может служить основанием для отмены судебных актов.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