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15.10.2020, оставленным без изменения постановлением Тринадцатого арбитражного апелляционного суда от 03.02.2021, в удовлетворении заявления отказано. Постановлением Суда по интеллектуальным правам от 30.07.2021 указанные судебные акты оставлены без изменения. 2 Таможенный орган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признали недоказанным наличие в действиях общества состава административного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правонарушениях, в связи с чем отказали в удовлетворении требования о привлечении общества к административной ответственности. Таможенный орган не согласен с указанными выводами судов. Между тем, в соответствии с частью 1 статьи 291.1, частью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 (вопрос 12 Обзора судебной практики Верховного Суда Российской Федерации № 2 (2021), утв. Президиумом Верховного Суда Российской Федерации 30.06.2021, пункт 13.1 постановления Пленума 3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правонарушениях»). В настоящее время истек срок давности привлечения общества к административной ответственности, составляющий один год с момента совершения правонарушения, за нарушение законодательства о товарных знаках, что в силу пункта 6 части 1 статьи 24.5 Кодекса Российской Федерации об административных правонарушениях является обстоятельством, исключающим производство по делу об административном правонарушении и влекущим в любом случае необходимость отказа в удовлетворении требования таможенного органа о привлечении к административной ответственности.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