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государственное унитарное предприятие «Хакресводоканал» (далее – кредитор) обратилось в суд с заявлением о включении в реестр требований кредиторов должника (далее – реестр) требования в размере 94 881 994 рубля 05 копеек, заявив ходатайство о восстановлении срока для предъявления требования. Определением Арбитражного суда Красноярского края от 25.01.2021, оставленным без изменения постановлениями Третьего арбитражного апелляционного суда от 12.04.2021 и Арбитражного суда Восточно-Сибирского округа от 30.07.2021, ходатайство удовлетворено, срок на подачу требования восстановлен, требование включено в третью очередь реестра.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Красноярского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от заявителя пояснений таких оснований не установлено. Разрешая спор, суды, руководствуясь статьями 100, 142, 213.7, 213.8, 213.24 Федерального закона от 26.10.2002 № 127-ФЗ «О несостоятельности (банкротстве)», исходили из обоснованности заявленного требования, основанного на установленном в рамках уголовного дела факте причинения ущерба кредитору, восстановив ему срок для предъявления требования к должнику ввиду уважительности причин его пропуска.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Базиеву Олегу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