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04.03.2021, оставленным без изменения постановлением Девятого арбитражного апелляционного суда от 19.05.2021 и постановлением Арбитражного суда Московского округа от 26.08.2021,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оспоренное решение принято инспекцией по результатам камеральной налоговой проверки представленной обществом уточненной налоговой декларации по налогу на имущество организаций за 2016 год. Указанным решением обществу доначислен налог в сумме 40 293 968 рублей, соответствующие пени и штраф. Основанием для принятия указанного решения явились выводы налогового органа о недостоверности исчисления заявителем налоговой базы в отношении принадлежащего ему здания с кадастровым номером 77:01:0001040:1032, включенного в утвержденный постановлением Правительства Москвы от 29.11.2016 № 789-ПП «О внесении изменений в Постановление Правительства Москвы от 28.11.2014 № 700-ПП» Перечень объектов недвижимого имущества (зданий, строений, сооружений), в отношении которых налоговая база определяется как их кадастровая стоимость. Не согласившись с решением инспекции, общество обратилось в арбитражный суд. Отказывая в удовлетворении заявления, судебные инстанции, оценив представленные в материалы дела доказательства, руководствуясь положениями Налогового кодекса Российской Федерации, Федерального закона от 29.07.1998 № 135-ФЗ «Об оценочной деятельности в Российской Федерации», Закона города Москвы от 05.11.2003 № 64 «О налоге на имущество организаций», учитывая разъяснения, изложенные в постановлении Пленума Высшего Арбитражного Суда Российской Федерации от 30.07.2013 № 57 «О некоторых вопросах, возникающих при применении арбитражными судами части первой Налогового кодекса Российской Федерации», пришли к выводу о законности решения инспекции с учетом недоказанности обществом наличия правовых оснований для уменьшения кадастровой стоимости объекта, указанной в ЕГРН, при исчислении налоговой базы по налогу на имущество организаций. 3 Судами также отмечено, что инспекцией для целей определения размера налогового обязательства принята наименьшая из имевшихся по состоянию на 01.01.2016 кадастровая стоимость объекта недвижимости. Доводы, изложенные в кассационной жалобе, являлись предметом рассмотрения судов, не свидетельствуют о нарушении судами норм материального и процессуального права, повлиявших на исход дела. Указанные доводы общества основаны на несогласии с выводами судов и неправильном толковании применительно к ним положений законодательства, что не может служить основанием для отмены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«Столичный Проект - КМ»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