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23.11.2020, оставленным без изменения постановлениями Тринадцатого арбитражного апелляционного суда от 05.04.2021 и Арбитражного суда Северо-Западного округа от 26.07.2021, иск учреждения удовлетворен. В кассационной жалобе, поданной в Верховный Суд Российской Федерации, общество ставит вопрос об отмене принятых по делу судебных актов, ссылаясь на нарушение норм процессуального права, несоответствие выводов судов фактическим обстоятельствам дела.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(заказчик) и обществом (поставщик) заключен государственный контракт на поставку запасных частей для дорожно-строительной техники в дорожно-эксплуатационный участок для нужд учреждения в 2019 году. В обоснование иска учреждение ссылалось на несвоевременную поставку товара. Оценив представленные в материалы дела доказательства, суды, руководствуясь положениями статей 309, 310, 329, 330, 525, 526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пришли к выводу о наличии оснований для возложения на поставщика гражданско-правовой ответственности в виде выплаты неустойки. Судебные инстанции исходили из нарушения поставщиком срока поставки товара. При исследовании обстоятельств дела установлено, что указанная в актах дата 04.07.2019, является датой фактического составления данного акта, но не свидетельствует о поставке товара, при этом отсутствуют доказательства, подтверждающие получение грузополучателем товара 04.07.2019. Приведенные в жалобе доводы, не свидетельствуют о существенных нарушениях судами норм материального и процессуального права, повлиявших на исход дела,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производстве, в связи с чем не могут служить основанием для пересмотра судебных актов в кассационном порядке. 3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«ТЕХЛИДЕР»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