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фонд обратился в суд с заявлением, в котором просил: удовлетворить заявление фонда о намерении в порядке статьи 201.15-1 Федерального закона от 26.10.2002 № 127-ФЗ «О несостоятельности (банкротстве)» (далее – Закон о банкротстве) стать приобретателем прав должника на земельный участок площадью 1 337 кв.м, с кадастровым номером 74:30:0103006:1283, расположенный по адресу: Челябинская область, г. Копейск, ул. Чаадаева, 79, принадлежащий должнику на праве собственности, со всеми неотделимыми улучшениями на таком земельном участке, в том числе объектом незавершенного строительства – многоквартирный жилой дом (I очередь строительства), расположенный по адресу: Челябинская область, г. Копейск, ул. Чаадаева, 79, прав на проектную документацию, включающую в себя все внесённые в неё изменения, и исполнить обязательства должника перед участниками строительства, требования которых включены в реестр требований участников строительства в рамках настоящего дела; передать фонду соответствующее имущество и обязательства должника перед участниками строительства, требования которых включены в реестр требований участников строительства. Определением Арбитражного суда Челябинской области от 24.05.2021, оставленным без изменения постановлением Восемнадцатого арбитражного апелляционного суда от 10.08.2021, заявление фонда удовлетворено, фонду определено перечислить на специальный банковский счёт должника денежные средства в размере 3 448 299 рублей 10 копеек в срок до 21.06.2021 для 2 погашения требований к должнику по текущим платежам и реестровых требований первой и второй очереди. В кассационной жалобе, поданной в Верховный Суд Российской Федерации, заявитель просит отменить постановление апелляционного суда в части обязания фонда перечислить денежные средства на специальный банковский счёт должника в размере 3 448 299 рублей 10 копеек, принять по делу новый судебный акт.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руководствуясь положениями пункта 5 статьи 201.10, пункта 1 статьи 201.5 Закона о банкротстве, согласился с правильными выводами суда первой инстанции о необходимости внесения фондом как приобретателем имущества всей суммы текущих платежей, а не только сумм текущих платежей первой очереди, задолженности реестровых кредиторов первой и второй очереди. Выводы апелляционного суда в обжалуемой заявителем части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фонду «Защита прав участников долевого строительства в Челябинской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