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12.10.2020, оставленным без изменения постановлениями Девятого арбитражного апелляционного суда от 22.03.2021 и Арбитражного суда Московского округа от 27.07.2021,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2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В обоснование иска общество указывает на то, что в результате невозможности эксплуатировать арендованные вагоны по причине введения предписанием Ространснадзора запрета на эксплуатацию, которое признано незаконным, в период с 11.03.2016 по даты фактического снятия запретов истец понес убытки в виде реального ущерба (расходов на подачу и уборку вагонов, на транспортные услуги по перевозке порожних вагонов, отстой собственного подвижного состава, маневровую работу локомотива и др.) и упущенной выгоды (неполученной прибыли от эксплуатации вагонов). Оценив представленные в дело доказательства в соответствии со статьей 71 Арбитражного процессуального кодекса Российской Федерации, руководствуясь положениями Гражданского кодекса Российской Федерации, с учетом правовой позиции, изложенной в постановлениях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от 24.03.2016 № 7 «О применении судами некоторых положений Гражданского кодекса Российской Федерации об ответственности за нарушение обязательств», суд первой инстанции пришел к выводу об отсутствии необходимой совокупности условий для взыскания убытков. Кроме того, суд апелляционной инстанции отметив, что законом не установлен претензионный порядок по требованиям о взыскании убытков, применил срок исковой давности по заявлению ответчика. 3 Суд округа, проверив соответствие выводов судов нижестоящих инстанций установленным по делу обстоятельствам и представленным доказательствам, поддержал выводы судов первой и апелляционной инстанций.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и не могут служить основанием для отмены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«Транспортная Группа Транско»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