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22.06.2020, оставленным без изменения постановлением Пятнадцатого арбитражного 2 апелляционного суда от 07.08.2020, оспариваемое постановление изменено в части назначенного наказания, штраф заменен на предупреждение. Постановлением Арбитражного суда Северо-Кавказского округа от 14.12.2020 названные судебные акты отменены, дело направлено на новое рассмотрение в Арбитражный суд Краснодарского края. При новом рассмотрении дела решением Арбитражного суда Краснодарского края от 04.03.2021, оставленным без изменения постановлением Пятнадцатого арбитражного апелляционного суда от 22.04.2021, в удовлетворении заявленного требования отказано. Постановлением Арбитражного суда Северо-Кавказского округа от 29.07.2021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оставить в силе решение Арбитражного суда Краснодарского края от 22.06.2020.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расчетов с иностранными гражданами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3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валютным законодательством определен исчерпывающий перечень случаев, при которых юридические лица - резиденты могут осуществлять расчеты с физическими лицами - нерезидентами в наличной иностранной валюте и валюте Российской Федерации без использования банковских счетов в уполномоченных банках. Судами установлено, что процедура и срок давности привлечения к административной ответственности соблюдены, административное наказание в виде штрафа назначено ниже низшего размере санкции нормы. При этом по смыслу правового подхода, изложенного в пункте 43 Обзора судебной практики Верховного Суда Российской Федерации № 4 (2018), утвержденного Президиумом Верховного Суда Российской Федерации 26.12.2018, определениях Верховного Суда Российской Федерации от 05.09.2018 № 303-АД18-5207, № 303-АД18-5141, вменяемое правонарушение нельзя признать совершенным впервые, поскольку при рассмотрении вопроса о возможности замены штрафа на предупреждение судами учтены совершенные 4 ранее административные правонарушения (в том числе в феврале 2018), тогда как вменяемое правонарушение совершено 29.03.2018, в связи с чем суды признали невозможным применение в рассматриваемом случае положений статьи 4.1.1 Кодекса Российской Федерации об административных правонарушениях. Указанные выводы судов в жалобе не опровергнуты. Доводы жалобы о том, что указанное правонарушение не является повторным по смыслу пункта 2 статьи 4.3, статьи 4.6 Кодекса, не свидетельствует о его совершении впервые. Иных доводы в жалобе не содержится.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