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31.03.2021, оставленным без изменения постановлением Пятнадцатого арбитражного апелляционного суда от 08.07.2021, в удовлетворении требования отказано. Постановлением Арбитражного суда Северо-Кавказского округа от 17.09.2021 указанные судебные акты оставлены без изменения. 2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и дополнении к ней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таможенной стоимости, повлекшее уменьшение суммы подлежащих внесению таможенных платежей.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3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статьи 38, 39, 40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4.1.1 Кодекса Российской Федерации об административных правонарушениях не имеется. Штраф назначен обществу в однократном размере подлежащих уплате таможенных платежей. При установленных судами конкретных обстоятельствах, связанных с наличием вступившего в законную силу судебного акта, которым признано обоснованным определение таможенным органом таможенной стоимости спорного товара и структуры таможенных платежей, обществу отказано в признании недействительным решения таможенного органа о внесении изменений (дополнений) в сведения, заявленные в декларации на товары, оснований для иных выводов не имеется.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