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30.03.2021, оставленным без изменения постановлением Пятнадцатого арбитражного апелляционного суда от 21.06.2021, в удовлетворении требования отказано. Постановлением Арбитражного суда Северо-Кавказского округа от 21.09.2021 указанные судебные акты оставлены без изменения. 2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Штраф назначен обществу в однократном размере подлежащих уплате таможенных платежей. При установленных судами конкретных обстоятельствах,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