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17.03.2021, оставленным без изменения постановлением Девятого арбитражного апелляционного суда от 2 26.05.2021, арбитражный управляющий привлечен к административной ответственности по части 3 статьи 14.13 КоАП РФ в виде предупреждения. Арбитражный суд Московского округа постановлением от 25.08.2021 оставил без изменения судебные акты судов первой и апелляционной инстанций. Арбитражный управляющий обратился в Верховный Суд Российской Федерации с кассационной жалобой, в которой просит отменить оспариваемые судебные акты, ссылаясь на нарушение судами норм материального права. При изучении доводов жалобы и принятых по делу судебных актов оснований для удовлетворения жалобы не установлено. Как следует из судебных актов, основанием для обращения в арбитражный суд послужили выводы административного органа о том, что арбитражный управляющий не исполнил требования пункта 4 статьи 20.3, пункта 2 статьи 129 Федерального закона от 26.10.2002 № 127-ФЗ «О несостоятельности (банкротстве)» (далее — Закон о банкротстве) в связи с нарушением сроков проведения инвентаризации имущества должника. Частью 3 статьи 14.13 КоАП РФ предусмотрена административная ответственность за неисполнение арбитражным управляющим, реестродержателем, организатором торгов, оператором электронной площадки либо руководителем временной администрации кредитной или иной финансовой организации обязанностей, установленных законодательством о несостоятельности (банкротстве), если такое действие (бездействие) не содержит уголовно наказуемого деяния. Оценив представленные доказательства, руководствуясь положениями КоАП РФ, Закона о банкротстве, Методических указаний по инвентаризации имущества и финансовых обязательств, утвержденных Приказом Минфина Российской Федерации от 13.06.1995 № 49, суды пришли к выводам о наличии в действиях арбитражного управляющего состава правонарушения, предусмотренного частью 3 статьи 14.13 КоАП РФ, соблюдении процедуры и срока давности привлечения к административной ответственности, об 3 отсутствии оснований для признания совершенного правонарушения малозначительным. При этом суды, с учетом фактических обстоятельств дела, характера совершенного правонарушения, правил назначения административного наказания, предусмотренных статьей 4.1 КоАП РФ, назначили арбитражному управляющему административное наказание в виде предупреждения. Доводы жалобы были подробно исследованы судами и мотивированно отклонены, не опровергают выводы судов, не подтверждают существенных нарушений норм материального и (или) процессуального права, которые могли бы повлиять на исход дела и являться достаточным основанием для пересмотра обжалуемых судебных актов в порядке кассационного производства.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