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31.03.2021, оставленным без изменения постановлением Пятнадцатого арбитражного апелляционного суда от 14.07.2021, в удовлетворении требования отказано. Постановлением Арбитражного суда Северо-Кавказского округа от 15.09.2021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и дополнении к ней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повлекшее уменьшение суммы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статьи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 4.1.1 Кодекса Российской Федерации об административных правонарушениях не имеется. Штраф назначен обществу в однократном размере подлежащих уплате таможенных платежей. При установленных судами конкретных обстоятельствах,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"АР Пэкэджинг" (подробнее) Ответчики: Краснодарская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