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09.03.2021, оставленным без изменения постановлением Пятого арбитражного апелляционного суда от 21.04.2021, в удовлетворении заявленного требования отказано. 2 Постановлением Арбитражного суда Дальневосточного округа от 01.09.2021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принятые по делу судебные акты отменить, ссылаясь на допущенные, по ее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предпринимателем расчетов с иностранными гражданами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3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могут осуществляться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При этом статья 14 Закона о валютном регулировании и валютном контроле не допускает возможности осуществления расчетов с физическими лицами - нерезидентами по выплате заработной платы наличными денежными средствами (Определение Конституционного Суда Российской Федерации от 20.07.2021 № 1664-О). Суды признали, что процедура привлечения к административной ответственности не нарушена, вина предпринимателя установлена. Оснований для применения положений статей 2.9, 4.1.1 Кодекса Российской Федерации об административных правонарушениях не выявлено. Штраф назначен ниже низшего размера санкции нормы. 4 Ссылка на судебную практику несостоятельна, поскольку приведенные в качестве примеров дела рассматривались с применением иной редакции правовой нормы.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