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15.02.2021 товарищество привлечено к административной ответственности, предусмотренной частью 2 статьи 7.24 Кодекса Российской Федерации об административных правонарушениях, и ему назначено наказание в виде административного штрафа в размере 20 000 рублей. Постановлением Четвертого арбитражного апелляционного суда от 20.04.2021 решение суда первой инстанции изменено в части назначенного наказания, штраф заменен на предупреждение. Постановлением Арбитражного суда Восточно-Сибирского округа от 19.07.2021 указанные судебные акты оставлены без изменения. Товарищество в кассационной жалобе просит отменить названные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7.24 Кодекса Российской Федерации об административных правонарушениях предусмотрена ответственность за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фонда. Оценив представленные доказательства, руководствуясь положениями статей 209 , 214 , 216 , 296 Гражданского кодекса Российской Федерации, пункта 4 постановления Правительства Российской Федерации от 06.10.1999 № 1131 «О передаче находящихся в федеральной собственности объектов социальной инфраструктуры Вооруженных сил Российской Федерации, других войск и воинских формирований в государственную собственность Российской Федерации и в муниципальную собственность», суды пришли к выводу о наличии в действиях товарищества состава правонарушения, ответственность за которое предусмотрена частью 2 статьи 7.24 Кодекса Российской Федерации об административных правонарушениях, установив факт использования находящегося в федеральной собственности объекта нежилого фонда без надлежаще оформленных документов. Доказательств невозможности соблюдения требований законодательства в силу чрезвычайных событий и обстоятельств, которые товарищество не могло предвидеть и предотвратить при соблюдении той степени заботливости и осмотрительности, которая от него требовалась, не установлено. Процедура и срок давности привлечения к ответственности соблюдены. Оснований для признания правонарушения малозначительным не установлено. Доводы жалобы были предметом исследования судов и получили исчерпывающую правовую оценку, не согласиться с которой оснований не имеется. Указанные доводы направлены на переоценку доказательств и установление иных фактических обстоятельств дела, что не свидетельствует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Заместитель военного прокурора Восточного военного округа (подробнее) Заместитель военного прокурора Читинского гарнизона (подробнее) Ответчики: ТСЖ "Амур"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