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Тамбовской области от 14.12.2020, оставленным без изменения постановлением Девятнадцатого арбитражного апелляционного суда от 18.03.2021, иск удовлетворен. 2 Постановлением Арбитражного суда Центрального округа от 29.07.2021 названные судебные акты оставлены без изменения. Больница обратилась в Верховный Суд Российской Федерации с кассационными жалобами, в которых просит принятые по делу судебные акты отменить, направить дело на новое рассмотрение в суд первой инстанции. При изучении доводов жалоб и принятых по делу судебных актов оснований для удовлетворения жалоб не установлено. Оценив представленные доказательства, руководствуясь положениями статей 309, 310, 523, 525 Гражданского кодекса Российской Федерации, статьи 95 Федерального Закона Российской Федерации от 05.04.2013 № 44-ФЗ «О контрактной системе в сфере закупок товаров, работ, услуг для обеспечения государственных и муниципальных нужд», суды удовлетворили иск, признав доказанным факт надлежащего исполнения обществом обязательств по поставке товара, и не установив существенного нарушения требований к качеству поставленного оборудования. Доводы жалобы были предметом исследования судов и получили исчерпывающую правовую оценку с учетом конкретных установленных обстоятельств и представленных сторонами доказательств, не согласиться с которыми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