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11.02.2021, оставленным без изменения постановлением Девятого арбитражного апелляционного суда от 08.04.2021, в удовлетворении заявленных требований отказано. 2 Постановлением Арбитражного суда Московского округа от 27.07.2021 указанные судебные акты оставлены без изменения. Общество просит изменить оспариваемое постановление в части назначенного наказания, заменив наказание в виде штрафа на предупреждение.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административным органом факт невыполнения резидентом в установленный срок обязанности по возврату в РФ денежных средств, уплаченных нерезидентам за не ввезенные в РФ товары. Частью 5 статьи 15.25 Кодекса Российской Федерации об административных правонарушениях предусмотрена ответственность за невыполнение резидентом в установленный срок обязанности по возврату в Российскую Федерацию денежных средств, уплаченных нерезидентам за не ввезенные в Российскую Федерацию (не полученные в Российской Федерации) товары, невыполненные работы, неоказанные услуги либо за непереданные информацию или результаты интеллектуальной деятельности, в том числе исключительные права на них. 3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общества состава административного правонарушения, предусмотренного частью 5 статьи 15.25 Кодекса Российской Федерации об административных правонарушениях. Вина общества установлена, оснований для применения положений статей 2.9, 4.1.1 Кодекса Российской Федерации об административных правонарушениях не выявлено. При этом наказание в виде штрафа признано судами соответствующим характеру совершенного административного правонарушения, соразмерным его тяжести, справедливым и отвечающим принципам юридической ответственности. Доказательств, опровергающих выводы судов, в жалобе не приведено. То, что в рамках либерализации мер ответственности за нарушение валютного законодательства Российской Федерации с 12.04.2020 в статью 15.25 внесены изменения, предусматривающие административную ответственность в виде предупреждения за нарушения валютного законодательства Российской Федерации по части 5 статьи 15.25 Кодекса Российской Федерации об административных правонарушениях, само по себе не свидетельствует о наличии оснований для назначения такого наказания в рассматриваемом случае. Доводы жалобы сводятся к несогласию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является основанием для пересмотра оспариваемых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