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20.01.2021 заявление удовлетворено в части включения в третью очередь реестра требования общества «Стройсервис групп» в размере 127 216 рублей 65 копеек. Тринадцатый арбитражный апелляционный суд постановлением от 22.05.2021 определение от 20.01.2021 в неудовлетворенной части иска отменил, включив в третью очередь реестра требование общества «Стройсервис групп» в размере 1 272 166 рублей 56 копеек. Арбитражный суд Северо-Западного округа постановлением от 10.08.2021 постановление апелляционного суда от 22.05.2021 оставил без изменения. В кассационной жалобе Салямов В.В. просит об отмене судебных актов апелляционного и окружного судов, ссылаясь на неправомерное начисление процентов на убытки до вступления в законную силу решения суда о их взыскании.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определением Арбитражного суда Ямало- Ненецкого автономного округа от 10.07.2018 правовая природа суммы, на которую начислены проценты, определена как неосновательное обогащение, поэтому проценты начислены в порядке статьи 1107 Гражданского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Салямову В.В.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