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21.01.2021, оставленным без изменения постановлением Девятого арбитражного апелляционного суда от 15.03.2021, иск удовлетворен. Арбитражный суд Московского округа постановлением от 28.06.2021 решение от 21.01.2021 и постановление Девятого арбитражного апелляционного суда от 15.03.2021 оставил без изменения. В кассационной жалобе акционерное общество «АльфаСтрахование» просит об отмене судебных актов, ссылаясь на непопадание взысканных убытков под действие страхования.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период совершения арбитражным управляющим незаконных действий с 10.03.2013 по 09.03.2014 попадал под действие заключенного с АО «АльфаСтрахование» договора страхования ответственности от 09.03.2013 S7915/899/00010/3 c учетом дополнительного соглашения от 27.08.2013 S7915/899/00010/3-001, поэтому взыскали соответствующую этому периоду сумму страхового возмещения на основании договора и статей 20, 20.4, 24.1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