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04.12.2020 заявление удовлетворено частично: признаны недействительными договоры отчуждения имущества должника в пользу супруги и соглашения о разделе совместно нажитого имущества с применением последствий недействительности, в признании недействительными заключенных должником со сторонними лицами и его супругой с дочерью сделок отказано. Постановлением Девятого арбитражного апелляционного суда от 06.04.2021, оставленным без изменения постановлением Арбитражного суда Московского округа от 04.08.2021, определение от 04.12.2020 изменено: признан недействительным заключенный между Федюк В.Н. (супругой должника) и Федюк А.В. (дочерью) договор дарения квартиры с кадастровым номером 77:06:0006004:2944, площадью 39.8 кв.м. с обязанием Федюк А.В. возвратить указанную квартиру в конкурсную массу должника, применены последствия недействительности сделок в виде обязания Федюк В.Н. возвратить в конкурсную массу должника квартиру с кадастровым номером 77:18:0191109:152 площадью 78,7 кв.м.; машино-место с кадастровым номером 2 77:06:0006004:3452, с Федюк В.Н. в конкурсную массу взыскана стоимость имущества в размере 55 082 000 рублей. В остальной части определение от 04.12.2020 оставлено без изменения. В кассационной жалобе Суслов В.А. просит об отмене судебных актов в неудовлетворенной части заявления как противоречащих обстоятельствам совершения сделок. В кассационных жалобах Федюк В.Н. и Федюк В.А. просят об отмене судебных актов, ссылаясь на неправильные выводы о неплатежеспособности должника в период совершения сделок, необоснованное взыскание с Федюк В.Н. в конкурсную массу полной стоимости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сделки должника с супругой, супруги с дочерью не имели иной цели, кроме освобождения имущества из-под требований кредиторов, тогда как по сделкам со сторонними лицами денежные средства реально получены, поэтому первые признаны противоречащими пункту 2 статьи 61.2 Федерального закона от 26.10.2002 № 127-ФЗ «О несостоятельности (банкротстве)», статьям 10, 168, 170 Гражданского кодекса Российской Федерации, а вторые – не нарушающими прав кредиторов, однако для заинтересованных лиц влекущие возврат полученных денежных средств в конкурсную массу должника. Доводы кассационных жалоб являлись предметом рассмотрения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Суслову Виталию Андреевичу, Федюку Владимиру Анатольевичу, Федюк Вере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