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23.03.2021, оставленным без изменения постановлением Третьего арбитражного апелляционного суда от 02.06.2021 и постановлением Арбитражного суда Восточно-Сибирского округа от 06.08.2021, заявление Чеботаревой Л.В. признано обоснованным, в отношении должника введена процедура реструктуризации долгов, в удовлетворении ходатайства о введении процедуры реализации имущества отказано, утвержден финансовый управляющий. В кассационной жалобе Чеботарева Л.В. просит о пересмотре судебных актов, ссылаясь на неисполнимость плана реструктуризации.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реструктуризации долгов применена в силу статьей 213.2, 213.6, 213.13 Федерального закона от 26.10.2002 № 127-ФЗ «О несостоятельности (банкротстве)» после исследования источников дохода должника и установления возможности погашения долгов посредством периодических платежей. Возражения заявителя, аналогичные доводам рассматриваемой кассационной жалобы, оценивались судами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Чеботаревой Любови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