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ноября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Санкт-Петербурга и Ленинградской области от 02.11.2020, оставленным без изменения постановлением Тринадцатого арбитражного апелляционного суда от 26.02.2021 и постановлением Арбитражного суда Северо-Западного округа от 17.06.2021, иск удовлетворен. В кассационной жалобе общество просит об отмене судебных актов, ссылаясь на неправильное применение преюдиции и неосновательный отказ в назначении экспертизы.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2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Взыскание убытков, не покрытых страхованием, с общества как владельца источника повышенной опасности, при использовании которого истцу причинен вред, соответствует статьям 15, 1064, 1068, 1072, 1079 Гражданского кодекса Российской Федерации и представленным доказательствам. Размер убытков определен экспертным путем в рамках судебного дела по спору, связанному с рассматриваемыми правоотношениями, не опорочен и не требует установления в применением такого же порядка в данном деле.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«ДЛ-Транс»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