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Ставропольского края от 21.01.2021 признан недействительным договор купли-продажи от 20.09.2017, заключенный между Адамовым Н.К. и Биляновым Ф.К., Билянова Ф.К. обязан возвратить в конкурсную массу должника автомобиль Mersedes-Benz GL 500 4MATIS 2013 года выпуска, VIN WDC1668731А322039. Шестнадцатый арбитражный апелляционный суд постановлением от 15.04.2021 отменил определение от 21.01.2021 и в удовлетворении заявления отказал. Арбитражный суд Северо-Кавказского округа постановлением от 08.07.2021 отменил постановление Шестнадцатого арбитражного апелляционного суда от 15.04.2021, направив обособленный спор на новое рассмотрение в тот же апелляционный суд. В кассационной жалобе Билянов Ф.К. просит об отмене постановления окружного суда, ссылаясь на превышение судом предоставленных законом полномочий и отсутствие условия для недействительности сделки.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установил, что выводы суда апелляционной инстанции об условиях оспариваемой сделки не соответствуют обстоятельствам дела и представленным доказательствам, поэтому признал необходимость нового рассмотрения дела в силу предоставленных статьями 286, 287 Кодекса полномочий.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гражданину Билянову Ф.К.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