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01.02.2021 сделки признаны недействительными, восстановлена задолженность должника перед банком. Девятый арбитражный апелляционный суд постановлением от 19.04.2021 отменил определение от 01.02.2021 и в удовлетворении заявления отказал. Арбитражный суд Московского округа постановлением от 08.07.2021 отменил определение от 01.02.2021 и постановление апелляционного суда от 19.04.2021, направив обособленный спор на новое рассмотрение в Арбитражный суд города Москвы. В кассационных жалобах банк и должник просят об отмене постановления суда округа вследствие нарушения пределов рассмотрения дела и отсутствия оснований для исследования вопросов об объеме оказанного предпочтения и восстановлении обеспечительной сделки. В силу части 1 статьи 291.11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кассационных жалоб не усматривается. Суд округа установил, что суды первой и апелляционной инстанций не учли наличие у банка статуса залогового кредитора при определении последствий недействительности сделок, поэтому в силу предоставленных статьями 286, 287 Арбитражного процессуального кодекса Российской Федерации полномочий признал необходимость нового рассмотрения обособленного спора.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«ЮниКредит Банк» и гражданину Шапиро И.Г.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