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департамент обратился в суд с заявлением о признании требований в сумме 296 289 рублей 36 копеек, в том числе 249 016 рублей 76 копеек основного долга по арендной плате за период с 01.08.2017 по 29.09.2017 и 47 272 рублей 60 копеек пени обоснованными, и об обязании конкурсного управляющего учесть их за реестром. Впоследствии конкурсный управляющий должником ФИО1 обратился в суд с заявлением о признании недействительными сделками договоров аренды государственного имущества от 19.04.2019 № 17, 19, 23-25, 34-67, 71-91, 94-131, 134-149, 152-155, заключенных между департаментом и должником, и применении последствий недействительности сделок. Указанные заявления объединены в одно производство для совместного рассмотрения. Определением Арбитражного суда Липецкой области от 13.12.2019, оставленным без изменения постановлением Девятнадцатого арбитражного апелляционного суда от 18.03.2020, отказано в удовлетворении заявления конкурного управляющего должником о признании сделок недействительными, требования департамента признаны обоснованными, конкурсный управляющий обязан учесть требования департамента отдельно, как подлежащие удовлетворению за счёт имущества, оставшегося после удовлетворения требований кредиторов, включённых в реестр требований кредиторов должника. Постановлением Арбитражного суда Центрального округа от 21.08.2020 вышеуказанные судебные акты отменены, дело направлено на новое рассмотрение в Арбитражный суд Липецкой области. В кассационной жалобе, поданной в Верховный Суд Российской Федерации, заявитель просит отменить указанное постановление суда округа,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обособленному спору судебные акты и направляя спор на новое рассмотрение, суд округа, руководствуясь положениями статей 606 , 611 и 614 Гражданского кодекса Российской Федерации, статьи 100 Федерального закона от 26.10.2002 № 127-ФЗ «О несостоятельности (банкротстве)», исходил из неполного исследования судами обстоятельств дела, которые могут иметь существенное значение для разрешения спора, что привело к преждевременным выводам и вынесению необоснованных судебных актов. При новом рассмотрении судам необходимо дать мотивированную оценку доводам конкурсного управляющего должником о ненадлежащем исполнении департаментом своих обязательств по договорам аренды, а также надлежащим образом установить конкретную дату передачи документации департаментом, достаточность переданной документации для использования арендованного имущества по назначению и причины досрочного расторжения договоров.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лишёны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государственного имущества и земельных отношений Орловской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ГУ здравоохранения "Добринская центральная районная больница" (подробнее) Департамент государственного имущественных и земельных отношений Орловской области (подробнее) Кирицкое сельское поселение Спасского муниципального района Рязанской области (подробнее) МУП "Теплосервис" (подробнее) ОАО "Липецкая энергосбытовая компания" (подробнее) ООО "Газпром межрегионгаз Воронеж" (подробнее) ООО "Газпром межрегионгаз Рязань" (подробнее) ООО "Нижнедевицк" (подробнее) ПАО "Рязанская энергетическая сбытовая компания" (подробнее) ПАО "ТНС ЭНЕРГО ВОРОНЕЖ" (подробнее) Ответчики: ООО "Теплоэнергосервис" (подробнее) Иные лица: АО "ГАЗПРОМ ГАЗОРАСПРЕДЕЛЕНИЕ РЯЗАНСКАЯ ОБЛАСТЬ" (подробнее) ООО "Эн-Сэйф" (подробнее) Союз "УрСО АУ" (подробнее) Федеральная налоговая служба по Октябрьскому району г.Липецка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