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жалобой на действия (бездействие) конкурсного управляющего должником государственной корпорации «Агентство по страхованию вкладов», выразившиеся в неопубликовании сведений о дне закрытия реестра требований кредиторов (далее – реестр) и в установлении 27.11.2019 датой закрытия реестра. Кредитор просил признать датой закрытия реестра 09.12.2019. Определением Арбитражного суда Нижегородской области от 12.04.2021, оставленным без изменения постановлениями Первого арбитражного апелляционного суда от 17.06.2021 и Арбитражного суда Волго-Вятского округа от 15.09.2021,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60, 142, 189.74, 189.85 Федерального закона от 26.10.2002 № 127-ФЗ «О несостоятельности (банкротстве)», установив, что конкурсный управляющий получил требование кредитора по истечении установленного в сообщениях о признании должника банкротом срока в отсутствие доказательств добросовестного заблуждения заявителя о дате начала его течения, признали обоснованным его отнесение к требованиям, подлежащим удовлетворению за счёт имущества должника, оставшегося после удовлетворения требований реестровых кредиторов.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Шашкину Илье Викторовичу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