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его требования в размере 99 998 075 рублей 79 копеек. Определением Арбитражного суда города Москвы от 29.12.2020, оставленным без изменения постановлениями Девятого арбитражного апелляционного суда от 13.05.2021 и Арбитражного суда Московского округа от 28.07.2021, требование признано обоснованным и подлежащим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142, 148 Федерального закона от 26.10.2002 № 127-ФЗ «О несостоятельности (банкротстве)», пунктом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исходили из необходимости субординирования требования заявителя.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«Инкомреалинвест»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