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третью очередь реестра требований кредиторов должника (далее – реестр) задолженности в размере 272 909 757 рублей 13 копеек. Определением Арбитражного суда Московской области от 23.12.2020, оставленным без изменения постановлениями Десятого арбитражного апелляционного суда от 17.05.2021 и Арбитражного суда Московского округа от 07.09.2021, заявление признано обоснованным и подлежащим удовлетворению в очерёдности, предшествующей распределению ликвидационной квоты. В кассационной жалобе, поданной в Верховный Суд Российской Федерации, заявитель просит отменить названные судебные акты в части определения очерёдности удовлетворения его требования и принять по делу новый судебный акт о включении требования в третью очередь реестра.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71, 100, 142 Федерального закона от 26.10.2002 № 127-ФЗ «О несостоятельности (банкротстве)», пунктами 3.2, 3.3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утверждённого Президиумом Верховного Суда Российской Федерации 29.01.2020, установив обстоятельства предоставления заявителем должнику компенсационного финансирования в ситуации имущественного кризиса, нарушающего права и законные интересы кредиторов по внешним обязательствам должника, субординировали заявленное требование. Выводы судов в обжалуемой части соответствуют нормам права, оснований для переоценки выводов судов по доводам жалобы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обществом «ПЭМЗ спецмаш» Солодухину Денису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