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Судебную коллегию по экономическим спорам Верховного Суда Российской Федерации с указанной кассационной жалобой, одновременно заявив ходатайство о восстановлении пропущенного срока ее подачи.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Частью 2 статьи 291.2 Арбитражного процессуального кодекса Российской Федерации установлено, что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2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срок, если признает причины пропуска уважительными и если не истек предусмотренный, в том числе статьей 291.2 данного Кодекса, предельно допустимый срок для его восстановления. Рассмотрев ходатайство о восстановлении процессуального срока, изучив приведенные заявителем причины пропуска процессуального срока, учитывая, что ходатайство заявлено в пределах шести месяцев со дня вступления в законную силу обжалуемого судебного акта, судья усматривает основания для удовлетворения ходатайства. Принимая во внимание изложенное и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Научно-производственное предприятие «НФЛ» срок подачи кассационной жалобы на постановление Арбитражного суда Центрального округа от 18.08.2021 по делу № А14-12683/2020. Судья Верховного Суда Российской Федерации Р.А. Хатыпова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