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19.11.2021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2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Принимая во внимание положения части 3 статьи 291.5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первоначальной жалобы (15.11.2021), а также незамедлительное устранение заявителем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185,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Селивановой Евгении Юрьевны о восстановлении пропущенного срока удовлетворить,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