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29.01.2021, оставленным без изменения постановлением Девятого арбитражного апелляционного суда от 14.04.2021 и постановлением Арбитражного суда 2 Московского округа от 26.07.2021, в удовлетворении исковых требований отказано.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Отказывая в удовлетворении заявленных истцом требований, суды первой и апелляционной инстанций, оценив представленные в материалы дела доказательства в совокупности и взаимосвязи, руководствуясь положениями статьи 846 Гражданского кодекса Российской Федерации, Федерального закона № 115-ФЗ «О противодействии легализации (отмыванию) доходов, полученных преступным путем, и финансированию терроризма» от 07.08.2001, Инструкции Банка России «Об открытии и закрытии банковских счетов, счетов по вкладам (депозитам), депозитных счетов» от 30.05.2014 № 153-И, исходили из того, что действия банка по открытию расчетного счета и проведению по нему операций основаны на нормах действующего законодательства, поскольку в банк с заявлением об открытии счета истцом был представлен полный комплект необходимых документов, при рассмотрении вопроса об открытии расчетного счета банк проверил объем представленных документов на соответствие установленных законом требований, проверил действительность документов клиента при его идентификации при приеме на обслуживание и не установил безусловных доказательств, позволяющих сделать вывод об отсутствии волеизъявления истца на заключение договора банковского счета, в связи с чем, у банка отсутствовали правовые основания для неисполнения требований лица, к нему обратившегося по открытию расчетного счета. Указанные выводы были поддержаны судом округа. Довод общества относительно нарушения судом порядка рассмотрения заявления о фальсификации доказательств не опровергает вывода суда округа об отсутствии в материалах дела указанного ходатайства. Ссылка в жалобе на 3 определение Верховного Суда Российской Федерации № 307-ЭС17-1676 по делу № А56-71402/2015 не может быть принята во внимание, поскольку по указанному делу под номером № 307-ЭС17-1676 от разных дат было вынесено 12 определений, заявитель не конкретизирует судебный акт, на который он ссылается в обоснование своей позиции. Доводы жалобы не подтверждают существенных нарушений норм материального и (или) процессуального права,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