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конкурсные кредиторы должника (ФИО2, ФИО3, ФИО4, ФИО5, ФИО6, ФИО7, ФИО8) обратились в арбитражный суд с заявлением об отстранении ФИО1 от исполнения обязанностей конкурсного управляющего должником. Определением Арбитражного суда города Москвы от 07.11.2018, оставленным без изменения постановлением Девятого арбитражного апелляционного суда от 23.01.2019 и постановлением Арбитражного суда Московского округа от 27.06.2019, заявление удовлетворено. В кассационной жалобе ФИО1 просит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Рассматривая спор, суды руководствовались статьями 2, 20.3, 145 Федерального закона от 26.10.2002 № 127-ФЗ «О несостоятельности (банкротстве)» и исходили из доказанности существенности нарушений ФИО1 при исполнении её обязанностей конкурсного управляющего должником.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Судьи дела: Самуйлов С.В.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