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включении требования в сумме 145 971 777 рублей 39 копеек в третью очередь реестра требований кредиторов должника (далее – реестр). Определением Арбитражного суда Хабаровского края от 17.05.2021, оставленным без изменения постановлениями Шестого арбитражного апелляционного суда от 12.07.2021 и Арбитражного суда Дальневосточного округа от 17.09.2021,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 признании требований уполномоченного органа подлежащими удовлетворению за счёт имущества, оставшегося после удовлетворения требований кредиторов, включённых в реестр.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142 Федерального закона от 26.10.2002 № 127-ФЗ «О несостоятельности (банкротстве)», исходили из отсутствия оснований для вывода о пропуске уполномоченным органом срока для обращения в суд с настоящим требованием.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«ЛАН» Булке Алексею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