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обратился в Верховный Суд Российской Федерации с кассационной жалобой, одновременно ходатайствуя о восстановлении пропущенного срока её подачи. Рассмотрев ходатайство о восстановлении процессуального срока, суд находит его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подачи кассационной жалобы на определение Арбитражного суда Нижегородской области от 27.02.2020, постановление Первого арбитражного апелляционного суда от 21.12.2020 и постановление Арбитражного суда Волго- Вятского округа от 19.08.2021 по делу А43-47351/2018 восстановить. Судья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