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17.12.2020, оставленным без изменения постановлениями Десятого арбитражного апелляционного суда от 25.03.2021 и Арбитражного суда Московского округа от 28.07.2021, в удовлетворении иска отказано. В кассационной жалобе антимонопольный орган ставит вопрос об отмене принятых по делу судебных актов, ссылаясь на существенное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предпринимателем и ООО «Пядь» заключен договор аренды нежилого помещения от 22.03.2020 № 20/03-22. Кроме того, между ООО «Пядь» и ООО «Агроторг» заключен договор коммерческой концессии от 30.03.2020 № 202. В обоснование иска антимонопольный орган ссылается на то, что в результате подписания договора коммерческой концессии ООО «Пядь» вошло в торговую сеть магазинов «Пятерочка», при этом договор аренды нежилого помещения в части площади в размере 491 кв.м., отведённой для розничной торговли продовольственными товарами под единым коммерческим обозначением «Пятёрочка», является ничтожным, поскольку заключён в нарушение требований пункта 1 статьи 14 Федерального закона от 28.12.2009 № 381-ФЗ «Об основах государственного регулирования торговой деятельности в Российской Федерации» (далее – Закон № 381-ФЗ). Исследовав и оценив представленные в материалы дела доказательства, руководствуясь положениями статей 166 - 168, 650 Гражданского кодекса Российской Федерации, Закона № 381-ФЗ, Федерального закона от 26.07.2006 № 135-ФЗ «О защите конкуренции», правовой позицией, изложенной в пункте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 том, что требование управления удовлетворению не подлежит. Судебные инстанции исходили из отсутствия доказательств нарушения оспариваемой сделкой публичных интересов, при этом отметили, что удовлетворение иска приведет к нарушению экономических интересов субъекта права собственности и экономической деятельности, что выразится в невозможности реализации предпринимателем своих прав собственника в отношении принадлежащего ему имущества. Кроме того, суды пришли к выводу о том, что спорный договор не относится к сделкам по приобретению торговой сетью дополнительной площади торговых объектов при превышении своей доли в обороте продовольствия более чем на 25%. 3 При исследовании обстоятельств дела установлено, что договор аренды нежилого помещения заключён с соблюдением требований Гражданского кодекса Российской Федерации; на момент заключения договора аренды ООО «Пядь» не входило в группу лиц ООО «Агроторг»; в результате заключения спорного договора ООО «Пядь» приобрело на правах аренды объект недвижимости, а ООО «Агроторг» никаких прав на объект не получило (не являясь стороной по сделке); ООО «Пядь» на дату заключения договора аренды не обладало данными об обороте продовольствия ООО «Агроторг» (доля на рынке) и его группы лиц, то есть вело себя добросовестно. Доводы кассационной жалобы не свидетельствуют о неправильном применении судами норм материального и процессуального права, повлиявшем на исход дела,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