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Некрасова А.В. (кредитор второй очереди текущих платежей) обратилась в суд с жалобой на действия (бездействие) конкурсного управляющего должником Бедуленко Александра Иосифовича. Определением Арбитражного суда города Москвы от 25.02.2021, оставленным без изменения постановлениями Девятого арбитражного апелляционного суда от 15.06.2021 и Арбитражного суда Московского округа от 26.08.2021,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129, 143 Федерального закона от 26.10.2002 № 127-ФЗ «О несостоятельности (банкротстве)», ввиду недоказанности несоответствия оспариваемых действий (бездействия) конкурсного управляющего должником требованиям законодательства о банкротстве, нарушения прав и законных интересов заявителя, пришли к выводам об отсутствии оснований для удовлетворения жалобы.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Некрасовой Алисе Валерьевне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