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научно-медицинская организация «Вопросы онкологии» обратилась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«Демлинк» 547 088 рублей задолженности.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«Аэрофлот», акционерное общество «Авиакомпания «Сибирь» и акционерное общество «В.И.П. Сервис». Решением Арбитражного суда города Москвы от 21.12.2020 иск удовлетворен. Постановлением Девятого арбитражного апелляционного суда от 19.03.2021 решение суда первой инстанции оставлено без изменения. 2 Арбитражный суд Московского округа постановлением от 04.08.2021 указанные судебные акты оставил без изменения. Общество с ограниченной ответственностью «Демлинк»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правоотношения сторон основаны на договоре возмездного оказания услуг и ответчик в силу условий раздела 5 договора обязан возвратить истцу уплаченные за билеты денежные средства, руководствуясь положениями статей 779, 791 Гражданского кодекса Российской Федерации, суды пришли к выводу о наличии оснований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«Демлинк»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