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«Московский Индустриальный банк», находящееся под управлением новой администрации (Приказ Банка России от 25.10.2019 № ОД-2468), обратилось в суд с заявлением о признании недействительной сделкой договора уступки прав (требований) от 21.07.2018 № 1, заключенного с обществом. Определением Арбитражного суда города Москвы от 05.10.2020, оставленным без изменения постановлениями Девятого арбитражного апелляционного суда от 10.06.2021 и Арбитражного суда Московского округа от 13.09.2021, заявление удовлетворено, применены последствия недействительности сделки путём приведения сторон в положение, существовавшее до её заключения.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31, 61.2, 189.9 и 189.40 Федерального закона от 26.10.2002 № 127-ФЗ «О несостоятельности (банкротстве)», установив совершение оспариваемой сделки в пределах периода подозрительности при наличии признаков неустойчивого финансового положения последнего, а также отсутствии доказательств экономической целесообразности, реальности и равноценности встречного исполнения, наличия у общества финансовой возможности исполнить сделку,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«Стройполимер»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