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Иванов И.В. обратился в суд с заявлением о признании недействительными платежей по перечислению должником денежных средств в пользу общества в период с 23.03.2017 по 04.04.2017. Определением Арбитражного суда города Москвы от 11.01.2021, оставленным без изменения постановлениями Девятого арбитражного апелляционного суда от 13.04.2021 и Арбитражного суда Московского округа от 20.07.2021, заявление удовлетворено, применены последствия недействительности в виде взыскания с общества в конкурсную массу должника 21 013 029 рублей.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установив совершение оспариваемых платежей после возбуждения настоящего дела о банкротстве, в период подозрительности, указав на совершение платежей в рамах отношений, чья экономическая целесообразность для должника не доказана, пришли к выводу об обоснованности заявления.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«Промыщленно-строительная фирма «Капремстрой» Филину Юрию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