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10.12.2020, оставленным без изменения постановлением Четвертого арбитражного апелляционного суда от 17.03.2021, в удовлетворении иска отказано. Постановлением Арбитражного суда Восточно-Сибирского округа от 29.07.2021 решение суда первой инстанции и постановление суда апелляционной инстанции отменены, иск прокурора удовлетворен. 2 В кассационной жалобе, поданной в Верховный Суд Российской Федерации, предприятие, ссылаясь на существенное нарушение норм материального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(заказчик) и обществом (исполнитель) заключен договор оказания услуг по охране административного здания Управления по Республике Саха (Якутия) филиала предприятия Дальневосточного федерального округа с пристроенным гаражом и прилегающей территорией. Полагая, что объект охраны по договору относится к объектам, на которые частная охранная деятельность не распространяется, прокурор обратился в арбитражный суд с требованием о признании указанного договора недействительным. Отказывая в удовлетворении иска, суды первой и апелляционной инстанций исходили из того, что объекты, переданные под охрану по спорному договору, не являются местом нахождения государственного органа, его структурного подразделения и не служат для реализации последними властных полномочий. Суды отметили, что нахождение предприятия в ведении федерального органа исполнительной власти (Роскомнадзора) и наличие у данного предприятия объектов, закрепленных на праве хозяйственного ведения, не является основанием для отнесения указанных объектов, к зданиям (помещениям), строениям федерального органа исполнительной власти, поименованным в пункте 1 Перечня объектов, на которые частная охранная деятельность не распространяется, утвержденного постановлением Правительства Российской Федерации от 14.08.1992 № 587 (далее – Перечень № 587). Суд кассационной инстанции счел выводы судов ошибочными. Отменяя решение суда первой и постановление суда апелляционной инстанций, суд округа, руководствуясь положениями Гражданского кодекса Российской Федерации, Федерального закона от 27.05.1996 № 57-ФЗ «О государственной охране», Закона Российской Федерации от 11.03.1992 3 № 2487-1 «О частной детективной и охранной деятельности в Российской Федерации», Перечнем № 587, Положением о Федеральной службе по надзору в сфере связи, информационных технологий и массовых коммуникаций, утвержденным постановлением Правительства Российской Федерации от 16.03.2009 № 228, Положением о радиочастотной службе, утвержденным постановлением Правительства Российской Федерации от 14.05.2014 № 434, Перечнем федеральных государственных унитарных предприятий, передаваемых в ведение Федеральной службы по надзору в сфере связи, информационных технологий и массовых коммуникаций, утвержденным постановлением Правительства Российской Федерации от 16.03.2009 № 228, Указом Президента Российской Федерации от 03.12.2008 № 1715 «О некоторых вопросах государственного управления в сфере связи, информационных технологий и массовых коммуникаций», с учетом правовой позиции Конституционного Суда Российской Федерации, изложенной в определении от 21.12.2011 № 1863-О-О, принимая во внимание положение устава предприятия, пришел к выводу о наличии оснований для удовлетворения иска. При этом суд кассационной инстанции исходил из того, что предприятие (заказчик) отнесено к ведению федерального органа исполнительной власти, его имущество является федеральной собственностью, которое принадлежит предприятию на праве хозяйственного ведения, в связи с чем объект охраны по спорному договору подлежит государственной охране, на него не распространяется частная охранная деятельность. Возражения, изложенные в жалобе, с учетом установленных фактических обстоятельств выводы суда кассационной инстанции не опровергают, не свидетельствуют о том, что судом допущены существенные нарушения норм материального права и (или) предусмотренные им процессуальные требования, не позволившие всесторонне, полно и объективно рассмотреть дело. Поскольку нарушений судом округа норм материального и процессуального права при рассмотрении дела не установлено,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«Главный радиочастотный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