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11.08.2020 заявление финансового управляющего удовлетворено. Определением Третьего арбитражного апелляционного суда от 19.05.2021, оставленным без изменения постановлением Арбитражного суда Восточно-Сибирского округа от 11.08.2021, апелляционная жалоба на определение от 11.08.2020 возвращена Поповой Н.А. связи с пропуском срока подачи и отказом в удовлетворении ходатайства о восстановлении срока. Кассационная жалоба в части обжалования определения от 11.08.2020 подана с нарушением подсудности, установленной частью 1 статьи 291.1 Арбитражного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В кассационной жалобе Попова Н.А. просит о пересмотре судебных актов в отношении возвращения апелляционной жалобы, ссылаясь на отсутствие осведомленности о рассмотрении дела.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неполучение заявителем направленной по месту жительства судебной корреспонденции и подачу апелляционной жалобы с нарушением предельного срока для ходатайствования о восстановлении срока подачи жалобы, что в силу статьи 117, части 2 статьи 259 Арбитражного процессуального кодекса Российской Федерации исключает принятие и рассмотрение жалобы по существу независимо от причины пропуска срока.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Поповой Наталье Арсентьевне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