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25.02.2021, оставленным без изменения постановлением Девятого арбитражного апелляционного суда от 31.05.2021 и постановлением Арбитражного суда Московского округа от 12.08.2021, первоначальный иск удовлетворен, в удовлетворении встречного иска отказано. В кассационной жалобе общество «1-Й ИНЖЕНЕР» просит о пересмотре судебных актов, ссылаясь на надлежащее исполнение обязательств сторонами и несоответствие выводов судов заключению эксперта.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Требуемая в жалобе переоценка выводов судов, основанных на исследованных доказательствах,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«1-Й ИНЖЕНЕР»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