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«Радикал-Инвест»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индивидуального предпринимателя Золотарева Дмитрия Леонидовича 142 800 рублей убытков. К участию в деле в качестве третьего лица, не заявляющего самостоятельных требований относительно предмета спора, привлечена Бородина Нина Ивановна. Решением Арбитражного суда города Москвы от 10.02.2021 в удовлетворении иска отказано. Постановлением Девятого арбитражного апелляционного суда от 21.05.2021 решение суда первой инстанции оставлено без изменения. Арбитражный суд Московского округа постановлением от 09.08.2021 указанные судебные акты оставил без изменения. Общество с ограниченной ответственностью «Радикал-Инвест» обратилось в Судебную коллегию Верховного Суда Российской Федерации с 2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учитывая отсутствие доказательств, подтверждающих наличие у истца убытков в заявленном размере, недоказанность нарушения прав истца в результате действий (бездействия) ответчика, руководствуясь положениями статей 15, 393 Гражданского кодекса Российской Федерации, суды пришли к выводу о недоказанности истцом наличия совокупности обстоятельств, необходимых для привлечения ответчика к гражданско- правовой ответственности в виде возмещения убытков.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«Радикал-Инвест»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