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Ярославской области от 16.04.2021, оставленным без изменения постановлением Второго арбитражного апелляционного суда от 23.06.2021 и постановлением Арбитражного суда Волго-Вятского округа от 16.09.2021, заявление удовлетворено. В кассационной жалобе Красов В.В. просит об отмене судебных актов, ссылаясь на отсутствие у него на момент заключения соглашения признаков неплатежеспособности.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отчуждение должником имущества в преддверии возбуждения дела о банкротстве в пользу заинтересованного лица при наличии долгов перед сторонними лицами, что создает условия для признания оспариваемого соглашения недействительным в силу пункта 2 статьи 61.2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Красову Валерию Вадимовичу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